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3E" w:rsidRPr="00AA5F3E" w:rsidRDefault="00AA5F3E" w:rsidP="00AA5F3E"/>
    <w:p w:rsidR="00E41F38" w:rsidRPr="0040165E" w:rsidRDefault="00E41F38" w:rsidP="00AA5F3E">
      <w:pPr>
        <w:rPr>
          <w:rFonts w:cstheme="minorHAnsi"/>
          <w:sz w:val="24"/>
          <w:szCs w:val="24"/>
        </w:rPr>
      </w:pPr>
    </w:p>
    <w:p w:rsidR="00E41F38" w:rsidRDefault="00F17E3F" w:rsidP="00F17E3F">
      <w:pPr>
        <w:jc w:val="center"/>
        <w:rPr>
          <w:rFonts w:cstheme="minorHAnsi"/>
          <w:b/>
          <w:sz w:val="24"/>
          <w:szCs w:val="24"/>
          <w:u w:val="single"/>
        </w:rPr>
      </w:pPr>
      <w:r w:rsidRPr="0040165E">
        <w:rPr>
          <w:rFonts w:cstheme="minorHAnsi"/>
          <w:b/>
          <w:sz w:val="24"/>
          <w:szCs w:val="24"/>
          <w:u w:val="single"/>
        </w:rPr>
        <w:t>NOTA DE PRENSA</w:t>
      </w:r>
    </w:p>
    <w:p w:rsidR="00C145A3" w:rsidRDefault="00C145A3" w:rsidP="00F17E3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F002E" w:rsidRDefault="00C145A3" w:rsidP="00C145A3">
      <w:pPr>
        <w:jc w:val="center"/>
        <w:rPr>
          <w:b/>
          <w:color w:val="0033CC"/>
        </w:rPr>
      </w:pPr>
      <w:r>
        <w:rPr>
          <w:b/>
          <w:color w:val="0033CC"/>
        </w:rPr>
        <w:t>El COGITIM reivindica el papel de los Técnicos Municipales en el proceso de transición energética y tecnológica de la sociedad</w:t>
      </w:r>
    </w:p>
    <w:p w:rsidR="002F002E" w:rsidRDefault="002F002E" w:rsidP="002F002E">
      <w:pPr>
        <w:rPr>
          <w:b/>
          <w:color w:val="0033CC"/>
        </w:rPr>
      </w:pPr>
    </w:p>
    <w:p w:rsidR="002F002E" w:rsidRPr="002F002E" w:rsidRDefault="002F002E" w:rsidP="002F002E">
      <w:pPr>
        <w:jc w:val="both"/>
      </w:pPr>
      <w:r w:rsidRPr="002F002E">
        <w:rPr>
          <w:b/>
        </w:rPr>
        <w:t xml:space="preserve">Madrid, 12 de noviembre de 2021.- </w:t>
      </w:r>
      <w:r w:rsidRPr="002F002E">
        <w:t xml:space="preserve">El </w:t>
      </w:r>
      <w:hyperlink r:id="rId8" w:history="1">
        <w:r w:rsidRPr="002F002E">
          <w:rPr>
            <w:rStyle w:val="Hipervnculo"/>
          </w:rPr>
          <w:t>Colegio Oficial Graduados e Ingenieros Técnicos Industriales de Madrid (COGITIM)</w:t>
        </w:r>
      </w:hyperlink>
      <w:r w:rsidRPr="002F002E">
        <w:t xml:space="preserve"> ha celebrado  una jornada formativa para Técnicos Municipales en la que se </w:t>
      </w:r>
      <w:r w:rsidR="00631BE9">
        <w:t xml:space="preserve">han </w:t>
      </w:r>
      <w:r w:rsidRPr="002F002E">
        <w:t xml:space="preserve">abordado los grandes retos a los que se enfrentan estos profesionales en cuestiones técnicas y urbanísticas. La sesión ha contado con la participación de D. Fernando </w:t>
      </w:r>
      <w:proofErr w:type="spellStart"/>
      <w:r w:rsidRPr="002F002E">
        <w:t>Arlandis</w:t>
      </w:r>
      <w:proofErr w:type="spellEnd"/>
      <w:r w:rsidRPr="002F002E">
        <w:t xml:space="preserve"> Pérez, </w:t>
      </w:r>
      <w:hyperlink r:id="rId9" w:history="1">
        <w:r w:rsidRPr="002F002E">
          <w:rPr>
            <w:rStyle w:val="Hipervnculo"/>
          </w:rPr>
          <w:t xml:space="preserve">Director General de </w:t>
        </w:r>
        <w:proofErr w:type="spellStart"/>
        <w:r w:rsidRPr="002F002E">
          <w:rPr>
            <w:rStyle w:val="Hipervnculo"/>
          </w:rPr>
          <w:t>Descarbonización</w:t>
        </w:r>
        <w:proofErr w:type="spellEnd"/>
        <w:r w:rsidRPr="002F002E">
          <w:rPr>
            <w:rStyle w:val="Hipervnculo"/>
          </w:rPr>
          <w:t xml:space="preserve"> y Transición Energética de la Comunidad de Madrid</w:t>
        </w:r>
      </w:hyperlink>
      <w:r w:rsidRPr="002F002E">
        <w:t xml:space="preserve"> y Guillermo Hita Pérez, Presidente de la </w:t>
      </w:r>
      <w:hyperlink r:id="rId10" w:history="1">
        <w:r w:rsidRPr="002F002E">
          <w:rPr>
            <w:rStyle w:val="Hipervnculo"/>
          </w:rPr>
          <w:t>Federación de Municipios de Madrid</w:t>
        </w:r>
      </w:hyperlink>
      <w:r w:rsidRPr="002F002E">
        <w:t>. Todas las entidades han destacado el importante papel que tienen los Técnicos Municipales en el proceso de transición energética</w:t>
      </w:r>
      <w:r w:rsidR="00631BE9">
        <w:t xml:space="preserve"> y tecnológica</w:t>
      </w:r>
      <w:r w:rsidRPr="002F002E">
        <w:t xml:space="preserve"> que se tiene que llevar a cabo en nuestras ciudades y municipios. </w:t>
      </w:r>
    </w:p>
    <w:p w:rsidR="002F002E" w:rsidRDefault="002F002E" w:rsidP="002F002E">
      <w:pPr>
        <w:rPr>
          <w:b/>
        </w:rPr>
      </w:pPr>
    </w:p>
    <w:p w:rsidR="002F002E" w:rsidRPr="00CC0431" w:rsidRDefault="002F002E" w:rsidP="00CC0431">
      <w:pPr>
        <w:jc w:val="both"/>
      </w:pPr>
      <w:r w:rsidRPr="00CC0431">
        <w:t xml:space="preserve">La sesión contó con destacados ponentes, cuyas intervenciones se centraron en analizar la situación actual de la Administración Municipal, así como tratar cuestiones de interés técnico y urbanístico como </w:t>
      </w:r>
      <w:r w:rsidR="00CC0431" w:rsidRPr="00CC0431">
        <w:t>la “Presentación de las ayudas para la instalación de infraestructuras de recarga para el vehículo eléctrico” o de “Equipos de Autoconsumo Fotovoltaico” o “La responsabilidad civil profesional de los Técnicos Municipales”</w:t>
      </w:r>
      <w:r w:rsidR="00631BE9">
        <w:t>, entre otras.</w:t>
      </w:r>
      <w:r w:rsidR="00CC0431" w:rsidRPr="00CC0431">
        <w:t xml:space="preserve"> </w:t>
      </w:r>
    </w:p>
    <w:p w:rsidR="002F002E" w:rsidRDefault="002F002E" w:rsidP="002F002E">
      <w:pPr>
        <w:rPr>
          <w:b/>
        </w:rPr>
      </w:pPr>
    </w:p>
    <w:p w:rsidR="00E65376" w:rsidRDefault="00CC0431" w:rsidP="00CC0431">
      <w:pPr>
        <w:jc w:val="both"/>
      </w:pPr>
      <w:r w:rsidRPr="00CC0431">
        <w:t>Para</w:t>
      </w:r>
      <w:r>
        <w:rPr>
          <w:b/>
        </w:rPr>
        <w:t xml:space="preserve"> </w:t>
      </w:r>
      <w:r w:rsidR="002F002E" w:rsidRPr="00E45CE6">
        <w:rPr>
          <w:b/>
        </w:rPr>
        <w:t xml:space="preserve">José Antonio Galdón Ruiz, decano </w:t>
      </w:r>
      <w:r>
        <w:rPr>
          <w:b/>
        </w:rPr>
        <w:t xml:space="preserve">del </w:t>
      </w:r>
      <w:r w:rsidR="002F002E" w:rsidRPr="00E45CE6">
        <w:rPr>
          <w:b/>
        </w:rPr>
        <w:t>COGITIM</w:t>
      </w:r>
      <w:r>
        <w:rPr>
          <w:b/>
        </w:rPr>
        <w:t xml:space="preserve">, </w:t>
      </w:r>
      <w:r w:rsidRPr="00CC0431">
        <w:t xml:space="preserve">“los Técnicos Municipales, dada su proximidad con los ciudadanos, están llamados a desempeñar un papel clave en el proceso de transformación energética, ecológica y digital que favorezca la transición energética hacia la </w:t>
      </w:r>
      <w:proofErr w:type="spellStart"/>
      <w:r w:rsidRPr="00CC0431">
        <w:t>descarbonización</w:t>
      </w:r>
      <w:proofErr w:type="spellEnd"/>
      <w:r w:rsidRPr="00CC0431">
        <w:t xml:space="preserve"> de la sociedad</w:t>
      </w:r>
      <w:r w:rsidR="00E65376">
        <w:t>. Y para jugar ese papel clave a nivel social, tenemos que ser capaces de asesorar e informar a nuestros ayuntamientos y a la ciudadanía no sólo de los criterios técnicos de los proyectos que se tienen que acometer, sino también comunicarles cuáles son las ayudas a las que se pueden acoger para que las instalaciones que se pongan en marcha cumplan los máximos criterios de rentabilidad y sostenibilidad”.</w:t>
      </w:r>
    </w:p>
    <w:p w:rsidR="00E65376" w:rsidRDefault="00E65376" w:rsidP="00CC0431">
      <w:pPr>
        <w:jc w:val="both"/>
      </w:pPr>
    </w:p>
    <w:p w:rsidR="00382652" w:rsidRDefault="00E65376" w:rsidP="00382652">
      <w:pPr>
        <w:jc w:val="both"/>
      </w:pPr>
      <w:r>
        <w:t xml:space="preserve">En este sentido, </w:t>
      </w:r>
      <w:r w:rsidR="00382652">
        <w:t xml:space="preserve">Galdón Ruiz </w:t>
      </w:r>
      <w:r>
        <w:t xml:space="preserve">añadió </w:t>
      </w:r>
      <w:r w:rsidR="00382652">
        <w:t>“</w:t>
      </w:r>
      <w:r>
        <w:t>para conseguir este objetivo resulta de vital  importancia el intercambio de información entre los técnicos de las diferentes adm</w:t>
      </w:r>
      <w:r w:rsidR="00382652">
        <w:t>inistraciones y entidades madrileñas”</w:t>
      </w:r>
      <w:r w:rsidR="00631BE9">
        <w:t xml:space="preserve"> y anunció, el próximo lanzamiento, </w:t>
      </w:r>
      <w:r>
        <w:t xml:space="preserve">por parte del COGITIM de un </w:t>
      </w:r>
      <w:r w:rsidRPr="00382652">
        <w:rPr>
          <w:b/>
        </w:rPr>
        <w:t xml:space="preserve">Foro </w:t>
      </w:r>
      <w:r w:rsidR="00382652">
        <w:rPr>
          <w:b/>
        </w:rPr>
        <w:t xml:space="preserve">de Participación </w:t>
      </w:r>
      <w:r w:rsidRPr="00382652">
        <w:rPr>
          <w:b/>
        </w:rPr>
        <w:t xml:space="preserve">exclusivo para </w:t>
      </w:r>
      <w:r w:rsidR="002F002E" w:rsidRPr="00382652">
        <w:rPr>
          <w:b/>
        </w:rPr>
        <w:t>Técnicos Municipales</w:t>
      </w:r>
      <w:r w:rsidR="00382652">
        <w:rPr>
          <w:b/>
        </w:rPr>
        <w:t xml:space="preserve">, </w:t>
      </w:r>
      <w:r w:rsidR="002F002E">
        <w:t xml:space="preserve"> </w:t>
      </w:r>
      <w:r w:rsidR="00382652">
        <w:t xml:space="preserve">diseñado para que dichos profesionales estén </w:t>
      </w:r>
      <w:r w:rsidR="002F002E">
        <w:t xml:space="preserve">permanentemente conectados, </w:t>
      </w:r>
      <w:r w:rsidR="00382652">
        <w:t>y puedan intercambiar experiencias</w:t>
      </w:r>
      <w:r w:rsidR="001A5AE5">
        <w:t xml:space="preserve"> y conocimientos</w:t>
      </w:r>
      <w:r w:rsidR="00382652">
        <w:t xml:space="preserve"> entre ellos mismos</w:t>
      </w:r>
      <w:r w:rsidR="001A5AE5">
        <w:t>,</w:t>
      </w:r>
      <w:r w:rsidR="00382652">
        <w:t xml:space="preserve"> tanto en cuestiones técnicas como administrativas. </w:t>
      </w:r>
    </w:p>
    <w:p w:rsidR="00382652" w:rsidRDefault="00382652" w:rsidP="00382652">
      <w:pPr>
        <w:jc w:val="both"/>
      </w:pPr>
      <w:r>
        <w:t>Dicha herramienta permitirá a los Técnicos Municipales plantear las dudas que se les presenten en el ejercicio de su trabajo, los compañeros de profesión podrán dar su opinión dentro del contexto de esas dudas y después con tod</w:t>
      </w:r>
      <w:r w:rsidR="00631BE9">
        <w:t xml:space="preserve">a la información recabada se creará un </w:t>
      </w:r>
      <w:r>
        <w:t xml:space="preserve">repositorio de consultas, para que aquellos </w:t>
      </w:r>
      <w:r w:rsidR="00506B59">
        <w:t xml:space="preserve">técnicos </w:t>
      </w:r>
      <w:r>
        <w:t>que tenga</w:t>
      </w:r>
      <w:r w:rsidR="001A5AE5">
        <w:t>n una</w:t>
      </w:r>
      <w:r>
        <w:t xml:space="preserve"> duda posterior a ese debate, puedan encontrar la solución al problema planteado.</w:t>
      </w:r>
    </w:p>
    <w:p w:rsidR="002F002E" w:rsidRDefault="002F002E" w:rsidP="002F002E"/>
    <w:p w:rsidR="002F002E" w:rsidRDefault="002F002E" w:rsidP="002F002E">
      <w:pPr>
        <w:jc w:val="both"/>
      </w:pPr>
      <w:r>
        <w:t xml:space="preserve">A continuación </w:t>
      </w:r>
      <w:r w:rsidR="001A5AE5">
        <w:t xml:space="preserve">tuvo lugar la intervención de </w:t>
      </w:r>
      <w:r w:rsidR="001A5AE5" w:rsidRPr="001A5AE5">
        <w:rPr>
          <w:b/>
        </w:rPr>
        <w:t xml:space="preserve">Fernando </w:t>
      </w:r>
      <w:proofErr w:type="spellStart"/>
      <w:r w:rsidR="001A5AE5" w:rsidRPr="001A5AE5">
        <w:rPr>
          <w:b/>
        </w:rPr>
        <w:t>Arlandis</w:t>
      </w:r>
      <w:proofErr w:type="spellEnd"/>
      <w:r w:rsidR="001A5AE5" w:rsidRPr="001A5AE5">
        <w:rPr>
          <w:b/>
        </w:rPr>
        <w:t xml:space="preserve"> Pérez, Director General de </w:t>
      </w:r>
      <w:r w:rsidRPr="001A5AE5">
        <w:rPr>
          <w:b/>
        </w:rPr>
        <w:t xml:space="preserve"> de </w:t>
      </w:r>
      <w:proofErr w:type="spellStart"/>
      <w:r w:rsidRPr="001A5AE5">
        <w:rPr>
          <w:b/>
        </w:rPr>
        <w:t>Descarbonización</w:t>
      </w:r>
      <w:proofErr w:type="spellEnd"/>
      <w:r w:rsidRPr="001A5AE5">
        <w:rPr>
          <w:b/>
        </w:rPr>
        <w:t xml:space="preserve"> y</w:t>
      </w:r>
      <w:r w:rsidR="001A5AE5" w:rsidRPr="001A5AE5">
        <w:rPr>
          <w:b/>
        </w:rPr>
        <w:t xml:space="preserve"> Transición Energética de la Comunidad de Madrid, </w:t>
      </w:r>
      <w:r w:rsidR="001A5AE5" w:rsidRPr="001A5AE5">
        <w:t xml:space="preserve">que centró su intervención en </w:t>
      </w:r>
      <w:r w:rsidR="001A5AE5">
        <w:t xml:space="preserve">hablar de las actuaciones que está llevando a cabo la Dirección General que preside para facilitar </w:t>
      </w:r>
      <w:r w:rsidRPr="00E720DD">
        <w:rPr>
          <w:b/>
        </w:rPr>
        <w:t xml:space="preserve">la </w:t>
      </w:r>
      <w:proofErr w:type="spellStart"/>
      <w:r w:rsidRPr="00E720DD">
        <w:rPr>
          <w:b/>
        </w:rPr>
        <w:t>descarbonización</w:t>
      </w:r>
      <w:proofErr w:type="spellEnd"/>
      <w:r w:rsidRPr="00E720DD">
        <w:rPr>
          <w:b/>
        </w:rPr>
        <w:t xml:space="preserve"> </w:t>
      </w:r>
      <w:r>
        <w:rPr>
          <w:b/>
        </w:rPr>
        <w:t xml:space="preserve">de la sociedad. </w:t>
      </w:r>
      <w:r w:rsidR="001A5AE5">
        <w:rPr>
          <w:b/>
        </w:rPr>
        <w:t>“</w:t>
      </w:r>
      <w:r w:rsidRPr="0025160E">
        <w:t>No avanzar en este objetivo, supone unos efectos climáticos y económicos que ya sufrimos en nuestro día a día</w:t>
      </w:r>
      <w:r>
        <w:t>, como el incremento</w:t>
      </w:r>
      <w:r w:rsidRPr="0025160E">
        <w:t xml:space="preserve"> </w:t>
      </w:r>
      <w:r w:rsidR="0040671A">
        <w:t>d</w:t>
      </w:r>
      <w:r w:rsidRPr="0025160E">
        <w:t>el precio de la energía, los problemas de abastecimiento que repercute</w:t>
      </w:r>
      <w:r>
        <w:t>n en el resto de la socie</w:t>
      </w:r>
      <w:r w:rsidR="001A5AE5">
        <w:t xml:space="preserve">dad y </w:t>
      </w:r>
      <w:r>
        <w:t>la paralización de numerosos proyectos p</w:t>
      </w:r>
      <w:r w:rsidR="001A5AE5">
        <w:t xml:space="preserve">orque no llegan los suministros”, manifestó </w:t>
      </w:r>
      <w:proofErr w:type="spellStart"/>
      <w:r w:rsidR="001A5AE5">
        <w:t>Arlandis</w:t>
      </w:r>
      <w:proofErr w:type="spellEnd"/>
      <w:r w:rsidR="001A5AE5">
        <w:t xml:space="preserve"> Pérez.</w:t>
      </w:r>
    </w:p>
    <w:p w:rsidR="002F002E" w:rsidRDefault="002F002E" w:rsidP="002F002E">
      <w:pPr>
        <w:jc w:val="both"/>
      </w:pPr>
    </w:p>
    <w:p w:rsidR="002F002E" w:rsidRDefault="001A5AE5" w:rsidP="002F002E">
      <w:pPr>
        <w:jc w:val="both"/>
      </w:pPr>
      <w:r>
        <w:t xml:space="preserve">Siguiendo en esta </w:t>
      </w:r>
      <w:r w:rsidR="004077BF">
        <w:t xml:space="preserve">misma línea, destacó “si queremos avanzar en la transición energética, es responsabilidad de las Administraciones </w:t>
      </w:r>
      <w:r w:rsidR="004077BF" w:rsidRPr="004077BF">
        <w:rPr>
          <w:b/>
        </w:rPr>
        <w:t xml:space="preserve">agilizar los trámites y que éstos sean más fáciles de realizar </w:t>
      </w:r>
      <w:r w:rsidR="002F002E" w:rsidRPr="004077BF">
        <w:rPr>
          <w:b/>
        </w:rPr>
        <w:t>para el ciudadano,</w:t>
      </w:r>
      <w:r w:rsidR="002F002E">
        <w:rPr>
          <w:b/>
        </w:rPr>
        <w:t xml:space="preserve"> </w:t>
      </w:r>
      <w:r w:rsidR="004077BF" w:rsidRPr="004077BF">
        <w:t xml:space="preserve">para </w:t>
      </w:r>
      <w:r w:rsidR="002F002E" w:rsidRPr="004077BF">
        <w:t xml:space="preserve">que la gente no tengan que esperar </w:t>
      </w:r>
      <w:r w:rsidR="004077BF">
        <w:t>horas, meses o</w:t>
      </w:r>
      <w:r w:rsidR="002F002E" w:rsidRPr="004077BF">
        <w:t xml:space="preserve"> años </w:t>
      </w:r>
      <w:r w:rsidR="004077BF" w:rsidRPr="004077BF">
        <w:t xml:space="preserve">en obtener </w:t>
      </w:r>
      <w:r w:rsidR="004077BF">
        <w:t>los</w:t>
      </w:r>
      <w:r w:rsidR="002F002E" w:rsidRPr="004077BF">
        <w:t xml:space="preserve"> permisos”.</w:t>
      </w:r>
      <w:r w:rsidR="004077BF">
        <w:t xml:space="preserve"> </w:t>
      </w:r>
    </w:p>
    <w:p w:rsidR="002F002E" w:rsidRDefault="002F002E" w:rsidP="002F002E">
      <w:pPr>
        <w:jc w:val="both"/>
      </w:pPr>
    </w:p>
    <w:p w:rsidR="002F002E" w:rsidRDefault="004077BF" w:rsidP="002F002E">
      <w:pPr>
        <w:jc w:val="both"/>
      </w:pPr>
      <w:r>
        <w:t>Por otro lado, hizo referen</w:t>
      </w:r>
      <w:r w:rsidR="00D14438">
        <w:t xml:space="preserve">cia a las </w:t>
      </w:r>
      <w:r w:rsidR="00D14438" w:rsidRPr="00D14438">
        <w:rPr>
          <w:b/>
        </w:rPr>
        <w:t>ayudas y subvenciones</w:t>
      </w:r>
      <w:r w:rsidR="00D14438">
        <w:t xml:space="preserve"> que se han puesto en marcha </w:t>
      </w:r>
      <w:r w:rsidR="002F002E" w:rsidRPr="00D14438">
        <w:t xml:space="preserve">para </w:t>
      </w:r>
      <w:proofErr w:type="spellStart"/>
      <w:r w:rsidR="002F002E" w:rsidRPr="00D14438">
        <w:t>descarbonizar</w:t>
      </w:r>
      <w:proofErr w:type="spellEnd"/>
      <w:r w:rsidR="002F002E" w:rsidRPr="00D14438">
        <w:t xml:space="preserve"> la sociedad</w:t>
      </w:r>
      <w:r w:rsidR="00D14438">
        <w:t xml:space="preserve">. En este sentido hizo referencia a </w:t>
      </w:r>
      <w:r w:rsidR="001D2621">
        <w:t xml:space="preserve">los </w:t>
      </w:r>
      <w:hyperlink r:id="rId11" w:history="1">
        <w:r w:rsidR="001D2621" w:rsidRPr="001D2621">
          <w:rPr>
            <w:rStyle w:val="Hipervnculo"/>
          </w:rPr>
          <w:t>Programas de ayudas para Renovables en Autoconsumo, Almacenamiento y Sistemas Térmicos</w:t>
        </w:r>
      </w:hyperlink>
      <w:r w:rsidR="002F002E">
        <w:t xml:space="preserve"> </w:t>
      </w:r>
      <w:r w:rsidR="002F002E" w:rsidRPr="00D14438">
        <w:t>que ha lanzado</w:t>
      </w:r>
      <w:r w:rsidR="00D14438" w:rsidRPr="00D14438">
        <w:t xml:space="preserve"> recientemente</w:t>
      </w:r>
      <w:r w:rsidR="002F002E" w:rsidRPr="00D14438">
        <w:t xml:space="preserve"> la Comunidad de Madrid</w:t>
      </w:r>
      <w:r w:rsidR="002F002E">
        <w:t xml:space="preserve">, con una </w:t>
      </w:r>
      <w:r w:rsidR="002F002E" w:rsidRPr="006C1F23">
        <w:rPr>
          <w:b/>
        </w:rPr>
        <w:t>dotación de  91 millones de euros</w:t>
      </w:r>
      <w:r w:rsidR="00D14438">
        <w:t xml:space="preserve">, y </w:t>
      </w:r>
      <w:r w:rsidR="001D2621">
        <w:t xml:space="preserve">cuyas ayudas se pueden solicitar a </w:t>
      </w:r>
      <w:r w:rsidR="001D2621" w:rsidRPr="001D2621">
        <w:t xml:space="preserve"> par</w:t>
      </w:r>
      <w:r w:rsidR="001D2621">
        <w:t>tir del 16 de noviembre de 2021.</w:t>
      </w:r>
    </w:p>
    <w:p w:rsidR="00506B59" w:rsidRDefault="00506B59" w:rsidP="002F002E">
      <w:pPr>
        <w:jc w:val="both"/>
      </w:pPr>
    </w:p>
    <w:p w:rsidR="002F002E" w:rsidRDefault="00506B59" w:rsidP="002F002E">
      <w:pPr>
        <w:jc w:val="both"/>
      </w:pPr>
      <w:r>
        <w:t>A continuación,</w:t>
      </w:r>
      <w:r w:rsidR="0040671A">
        <w:t xml:space="preserve"> avanzó el lanzamiento para </w:t>
      </w:r>
      <w:r w:rsidR="0040671A" w:rsidRPr="00506B59">
        <w:rPr>
          <w:b/>
        </w:rPr>
        <w:t>enero-febrero de 2022</w:t>
      </w:r>
      <w:r w:rsidR="0040671A">
        <w:t xml:space="preserve"> de una línea de </w:t>
      </w:r>
      <w:r w:rsidR="002F002E" w:rsidRPr="000C3A02">
        <w:rPr>
          <w:b/>
        </w:rPr>
        <w:t>ayudas para el establecimiento de zonas de bajas emisiones</w:t>
      </w:r>
      <w:r w:rsidR="0040671A">
        <w:t xml:space="preserve">, </w:t>
      </w:r>
      <w:r w:rsidR="0040671A" w:rsidRPr="00506B59">
        <w:rPr>
          <w:b/>
        </w:rPr>
        <w:t>que serán</w:t>
      </w:r>
      <w:r w:rsidR="002F002E" w:rsidRPr="00506B59">
        <w:rPr>
          <w:b/>
        </w:rPr>
        <w:t xml:space="preserve"> exclusivas para ayuntamientos de menos de 100.000 habitantes,</w:t>
      </w:r>
      <w:r w:rsidR="002F002E">
        <w:t xml:space="preserve"> y </w:t>
      </w:r>
      <w:r w:rsidR="002F002E" w:rsidRPr="00057E2A">
        <w:rPr>
          <w:b/>
        </w:rPr>
        <w:t>para aquellos municipios de menos de 50.000 habitantes</w:t>
      </w:r>
      <w:r w:rsidR="002F002E">
        <w:t>, que no tienen la obligación de establecer estas zonas de bajas emisiones,</w:t>
      </w:r>
      <w:r w:rsidR="0040671A">
        <w:t xml:space="preserve"> está previsto</w:t>
      </w:r>
      <w:r w:rsidR="002F002E">
        <w:t xml:space="preserve"> una serie de programas para la instalación de </w:t>
      </w:r>
      <w:r w:rsidR="002F002E" w:rsidRPr="007832E4">
        <w:rPr>
          <w:b/>
        </w:rPr>
        <w:t>refugios climáticos</w:t>
      </w:r>
      <w:r w:rsidR="002F002E">
        <w:t>, y todo tipo de actuaciones para la adaptación al cambio climático.</w:t>
      </w:r>
    </w:p>
    <w:p w:rsidR="002F002E" w:rsidRDefault="002F002E" w:rsidP="002F002E">
      <w:pPr>
        <w:jc w:val="both"/>
      </w:pPr>
    </w:p>
    <w:p w:rsidR="0040671A" w:rsidRDefault="0040671A" w:rsidP="002F002E">
      <w:pPr>
        <w:jc w:val="both"/>
      </w:pPr>
      <w:r>
        <w:t xml:space="preserve">Por último, apoyo la iniciativa del COGITIM de celebrar jornadas como está, que resultan ser un </w:t>
      </w:r>
      <w:r w:rsidR="002F002E" w:rsidRPr="0040671A">
        <w:t xml:space="preserve">canal de difusión </w:t>
      </w:r>
      <w:r w:rsidRPr="0040671A">
        <w:t xml:space="preserve">muy eficaz a la hora de dar a conocer </w:t>
      </w:r>
      <w:r w:rsidR="002F002E" w:rsidRPr="0040671A">
        <w:t>estas ayudas</w:t>
      </w:r>
      <w:r w:rsidRPr="0040671A">
        <w:t xml:space="preserve"> a la sociedad, y contribuir de esta manera</w:t>
      </w:r>
      <w:r>
        <w:rPr>
          <w:b/>
        </w:rPr>
        <w:t xml:space="preserve"> </w:t>
      </w:r>
      <w:r>
        <w:t xml:space="preserve">en la </w:t>
      </w:r>
      <w:proofErr w:type="spellStart"/>
      <w:r>
        <w:t>descarbonización</w:t>
      </w:r>
      <w:proofErr w:type="spellEnd"/>
      <w:r>
        <w:t xml:space="preserve"> de la región, “u</w:t>
      </w:r>
      <w:r w:rsidR="002F002E">
        <w:t xml:space="preserve">na región </w:t>
      </w:r>
      <w:proofErr w:type="spellStart"/>
      <w:r w:rsidR="002F002E">
        <w:t>descarbonizada</w:t>
      </w:r>
      <w:proofErr w:type="spellEnd"/>
      <w:r w:rsidR="002F002E">
        <w:t xml:space="preserve">, es una región que va a crecer más fácilmente y con una independencia energética que en estos momentos es de vital importancia </w:t>
      </w:r>
      <w:r>
        <w:t xml:space="preserve">para no depender de </w:t>
      </w:r>
      <w:r w:rsidR="002F002E">
        <w:t>los suministros energéticos que vienen de otros paíse</w:t>
      </w:r>
      <w:r>
        <w:t>s, ni estar sometidos a las oscilaciones de los precios</w:t>
      </w:r>
      <w:r w:rsidR="004A381D">
        <w:t xml:space="preserve"> de la energía. </w:t>
      </w:r>
      <w:r>
        <w:t>”</w:t>
      </w:r>
    </w:p>
    <w:p w:rsidR="002F002E" w:rsidRDefault="002F002E" w:rsidP="002F002E">
      <w:pPr>
        <w:jc w:val="both"/>
        <w:rPr>
          <w:b/>
        </w:rPr>
      </w:pPr>
    </w:p>
    <w:p w:rsidR="002F002E" w:rsidRDefault="004A381D" w:rsidP="002F002E">
      <w:pPr>
        <w:jc w:val="both"/>
        <w:rPr>
          <w:b/>
        </w:rPr>
      </w:pPr>
      <w:r w:rsidRPr="00AA4FB5">
        <w:t>Por su parte,</w:t>
      </w:r>
      <w:r>
        <w:rPr>
          <w:b/>
        </w:rPr>
        <w:t xml:space="preserve"> Guillermo Hita Téllez, presidente de la Federación de Municipios de Madrid, </w:t>
      </w:r>
      <w:r w:rsidRPr="00506B59">
        <w:t>fue el</w:t>
      </w:r>
      <w:r>
        <w:rPr>
          <w:b/>
        </w:rPr>
        <w:t xml:space="preserve"> </w:t>
      </w:r>
      <w:r w:rsidRPr="00AA4FB5">
        <w:t>encargado de cl</w:t>
      </w:r>
      <w:r w:rsidR="00506B59">
        <w:t>ausurar la jornada</w:t>
      </w:r>
      <w:r w:rsidR="00047BEE">
        <w:t>, destacando</w:t>
      </w:r>
      <w:r w:rsidR="00506B59">
        <w:t xml:space="preserve"> </w:t>
      </w:r>
      <w:r w:rsidR="00AA4FB5">
        <w:t xml:space="preserve">el papel fundamental que tienen </w:t>
      </w:r>
      <w:r w:rsidR="002F002E">
        <w:t xml:space="preserve">los Técnicos Municipales </w:t>
      </w:r>
      <w:r w:rsidR="00AA4FB5">
        <w:t xml:space="preserve">en la consecución del </w:t>
      </w:r>
      <w:r w:rsidR="002F002E" w:rsidRPr="0058669B">
        <w:rPr>
          <w:b/>
        </w:rPr>
        <w:t xml:space="preserve">objetivo </w:t>
      </w:r>
      <w:r w:rsidR="002F002E">
        <w:rPr>
          <w:b/>
        </w:rPr>
        <w:t xml:space="preserve">primordial </w:t>
      </w:r>
      <w:r w:rsidR="002F002E" w:rsidRPr="0058669B">
        <w:rPr>
          <w:b/>
        </w:rPr>
        <w:t>que tienen los Ayuntamientos que es mejorar la calidad de vida de los ciudadanos</w:t>
      </w:r>
      <w:r w:rsidR="00AA4FB5">
        <w:t xml:space="preserve">, siempre cumpliendo los máximos criterios </w:t>
      </w:r>
      <w:r w:rsidR="00AA4FB5" w:rsidRPr="00AA4FB5">
        <w:rPr>
          <w:b/>
        </w:rPr>
        <w:t>de sostenibilidad</w:t>
      </w:r>
      <w:r w:rsidR="00AA4FB5">
        <w:rPr>
          <w:b/>
        </w:rPr>
        <w:t>. “</w:t>
      </w:r>
      <w:r w:rsidR="002F002E">
        <w:t xml:space="preserve">Tenemos que promover la economía de los municipios sin dejar de lado la sostenibilidad </w:t>
      </w:r>
      <w:r w:rsidR="00047BEE">
        <w:t xml:space="preserve">de nuestras ciudades. Es de vital importancia que el desarrollo de nuestras actividades </w:t>
      </w:r>
      <w:r w:rsidR="002F002E">
        <w:t xml:space="preserve">estén en consonancia con el medio ambiente, con la calidad de vida de los ciudadanos, y para eso </w:t>
      </w:r>
      <w:r w:rsidR="00AA4FB5" w:rsidRPr="00AA4FB5">
        <w:t>vuestro trabajo es determinante</w:t>
      </w:r>
      <w:r w:rsidR="00AA4FB5">
        <w:rPr>
          <w:b/>
        </w:rPr>
        <w:t xml:space="preserve">”, </w:t>
      </w:r>
      <w:r w:rsidR="00AA4FB5" w:rsidRPr="00047BEE">
        <w:t>destacó Hita Téllez</w:t>
      </w:r>
      <w:r w:rsidR="00AA4FB5">
        <w:rPr>
          <w:b/>
        </w:rPr>
        <w:t>.</w:t>
      </w:r>
    </w:p>
    <w:p w:rsidR="001F6484" w:rsidRPr="00AA4FB5" w:rsidRDefault="001F6484" w:rsidP="002F002E">
      <w:pPr>
        <w:jc w:val="both"/>
        <w:rPr>
          <w:b/>
        </w:rPr>
      </w:pPr>
    </w:p>
    <w:p w:rsidR="001F6484" w:rsidRDefault="00047BEE" w:rsidP="002F002E">
      <w:pPr>
        <w:jc w:val="both"/>
      </w:pPr>
      <w:r>
        <w:t>Finalizó su intervención, anunciando</w:t>
      </w:r>
      <w:r w:rsidR="001F6484" w:rsidRPr="001F6484">
        <w:rPr>
          <w:b/>
        </w:rPr>
        <w:t xml:space="preserve"> la firma de un convenio de colaboración entre el COGITIM y la Federación de Municipios de Madrid,</w:t>
      </w:r>
      <w:r w:rsidR="001F6484">
        <w:t xml:space="preserve"> que hará posible el intercambio de información y conocimiento entre ambas entidades, </w:t>
      </w:r>
      <w:r>
        <w:t xml:space="preserve">lo cual será </w:t>
      </w:r>
      <w:r w:rsidR="001F6484">
        <w:t>de gran ayuda para los Técnicos Municipales en el</w:t>
      </w:r>
      <w:r>
        <w:t xml:space="preserve"> desarrollo de su trabajo, y</w:t>
      </w:r>
      <w:r w:rsidR="001F6484">
        <w:t xml:space="preserve"> también tendrá una importante carga </w:t>
      </w:r>
      <w:r w:rsidR="001F6484" w:rsidRPr="001F6484">
        <w:rPr>
          <w:b/>
        </w:rPr>
        <w:t>solidaria</w:t>
      </w:r>
      <w:r w:rsidR="001F6484">
        <w:t xml:space="preserve">, ya que la unión de sinergias de ambos organismos beneficiará a los municipios que no tienen las capacidades técnicas para asegurar la calidad de </w:t>
      </w:r>
      <w:r w:rsidR="001F6484">
        <w:lastRenderedPageBreak/>
        <w:t xml:space="preserve">vida de sus vecinos, </w:t>
      </w:r>
      <w:r>
        <w:t>al poner a su disposición</w:t>
      </w:r>
      <w:r w:rsidR="001F6484">
        <w:t xml:space="preserve">todas las herramientas y conocimientos necesarios para que no se queden atrás en este proceso de transformación energético y tecnológico. </w:t>
      </w:r>
    </w:p>
    <w:p w:rsidR="001F6484" w:rsidRDefault="001F6484" w:rsidP="002F002E">
      <w:pPr>
        <w:jc w:val="both"/>
      </w:pPr>
    </w:p>
    <w:p w:rsidR="002F002E" w:rsidRDefault="001F6484" w:rsidP="00F17E3F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--------------------------------------------------------------------------------------------</w:t>
      </w:r>
    </w:p>
    <w:p w:rsidR="002F002E" w:rsidRDefault="002F002E" w:rsidP="00F17E3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F002E" w:rsidRDefault="002F002E" w:rsidP="00F17E3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F002E" w:rsidRPr="0040165E" w:rsidRDefault="002F002E" w:rsidP="00F17E3F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0C416E" w:rsidRPr="000C416E" w:rsidRDefault="000C416E" w:rsidP="000C416E">
      <w:pPr>
        <w:jc w:val="both"/>
        <w:rPr>
          <w:rFonts w:eastAsia="Calibri" w:cstheme="minorHAnsi"/>
          <w:b/>
          <w:i/>
          <w:iCs/>
          <w:sz w:val="24"/>
          <w:szCs w:val="24"/>
        </w:rPr>
      </w:pPr>
      <w:r w:rsidRPr="000C416E">
        <w:rPr>
          <w:rFonts w:eastAsia="Calibri" w:cstheme="minorHAnsi"/>
          <w:b/>
          <w:i/>
          <w:iCs/>
          <w:sz w:val="24"/>
          <w:szCs w:val="24"/>
        </w:rPr>
        <w:t>Acerca del COGITIM</w:t>
      </w:r>
    </w:p>
    <w:p w:rsidR="000C416E" w:rsidRPr="000C416E" w:rsidRDefault="000C416E" w:rsidP="000C416E">
      <w:pPr>
        <w:jc w:val="both"/>
        <w:rPr>
          <w:rFonts w:eastAsia="Calibri" w:cstheme="minorHAnsi"/>
          <w:sz w:val="24"/>
          <w:szCs w:val="24"/>
        </w:rPr>
      </w:pPr>
      <w:r w:rsidRPr="000C416E">
        <w:rPr>
          <w:rFonts w:eastAsia="Calibri" w:cstheme="minorHAnsi"/>
          <w:sz w:val="24"/>
          <w:szCs w:val="24"/>
        </w:rPr>
        <w:t xml:space="preserve">El Colegio Oficial de Ingenieros Técnicos Industriales de Madrid (COGITIM) agrupa a 7.000 colegiados, integrando a los Ingenieros/as Graduados/as en: Ingeniería Eléctrica, Ingeniería Mecánica, Ingeniería Electrónica y Automática, Ingeniería Química Industrial, y otras Ingenierías conforme a la Orden CIN 351/2009, además de a los/as Ingenieros/as Técnicos/as Industriales y Peritos Industriales de Madrid. </w:t>
      </w:r>
    </w:p>
    <w:p w:rsidR="00E1107A" w:rsidRDefault="00E1107A" w:rsidP="00E1107A">
      <w:pPr>
        <w:spacing w:after="0" w:line="240" w:lineRule="auto"/>
        <w:ind w:right="-68"/>
        <w:jc w:val="both"/>
        <w:rPr>
          <w:rFonts w:ascii="Century Gothic" w:eastAsia="Times New Roman" w:hAnsi="Century Gothic" w:cs="Times New Roman"/>
          <w:b/>
          <w:color w:val="002060"/>
          <w:lang w:eastAsia="es-ES"/>
        </w:rPr>
      </w:pPr>
      <w:bookmarkStart w:id="0" w:name="_GoBack"/>
      <w:bookmarkEnd w:id="0"/>
      <w:r w:rsidRPr="00F877FD">
        <w:rPr>
          <w:rFonts w:ascii="Century Gothic" w:eastAsia="Times New Roman" w:hAnsi="Century Gothic" w:cs="Times New Roman"/>
          <w:b/>
          <w:color w:val="002060"/>
          <w:lang w:eastAsia="es-ES"/>
        </w:rPr>
        <w:t xml:space="preserve">Para más información: </w:t>
      </w:r>
    </w:p>
    <w:p w:rsidR="00E1107A" w:rsidRDefault="00E1107A" w:rsidP="00E1107A">
      <w:pPr>
        <w:spacing w:after="0" w:line="240" w:lineRule="auto"/>
        <w:ind w:right="-68"/>
        <w:jc w:val="both"/>
        <w:rPr>
          <w:rFonts w:ascii="Century Gothic" w:eastAsia="Times New Roman" w:hAnsi="Century Gothic" w:cs="Times New Roman"/>
          <w:b/>
          <w:color w:val="002060"/>
          <w:lang w:eastAsia="es-ES"/>
        </w:rPr>
      </w:pPr>
    </w:p>
    <w:p w:rsidR="00E1107A" w:rsidRPr="009B4D67" w:rsidRDefault="00E1107A" w:rsidP="00E1107A">
      <w:pPr>
        <w:spacing w:after="0" w:line="240" w:lineRule="auto"/>
        <w:ind w:right="-68"/>
        <w:jc w:val="both"/>
        <w:rPr>
          <w:rFonts w:eastAsia="Times New Roman" w:cstheme="minorHAnsi"/>
          <w:color w:val="1F497D"/>
          <w:sz w:val="24"/>
          <w:szCs w:val="24"/>
          <w:lang w:eastAsia="es-ES"/>
        </w:rPr>
      </w:pPr>
      <w:r w:rsidRPr="009B4D67">
        <w:rPr>
          <w:rFonts w:eastAsia="Times New Roman" w:cstheme="minorHAnsi"/>
          <w:color w:val="002060"/>
          <w:sz w:val="24"/>
          <w:szCs w:val="24"/>
          <w:lang w:eastAsia="es-ES"/>
        </w:rPr>
        <w:t>Comunicación COGITIM</w:t>
      </w:r>
    </w:p>
    <w:p w:rsidR="00E1107A" w:rsidRPr="009B4D67" w:rsidRDefault="00B96510" w:rsidP="00E1107A">
      <w:pPr>
        <w:jc w:val="both"/>
        <w:rPr>
          <w:rFonts w:eastAsia="Calibri" w:cstheme="minorHAnsi"/>
          <w:b/>
          <w:i/>
          <w:iCs/>
          <w:sz w:val="24"/>
          <w:szCs w:val="24"/>
        </w:rPr>
      </w:pPr>
      <w:r>
        <w:rPr>
          <w:rFonts w:eastAsia="Calibri" w:cstheme="minorHAnsi"/>
          <w:b/>
          <w:i/>
          <w:iCs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.45pt;margin-top:4pt;width:202.5pt;height:72.75pt;z-index:251660288" strokecolor="white">
            <v:textbox style="mso-next-textbox:#_x0000_s1029">
              <w:txbxContent>
                <w:p w:rsidR="00E1107A" w:rsidRPr="009B4D67" w:rsidRDefault="00B96510" w:rsidP="00E1107A">
                  <w:pPr>
                    <w:rPr>
                      <w:rFonts w:cstheme="minorHAnsi"/>
                      <w:sz w:val="24"/>
                      <w:szCs w:val="24"/>
                    </w:rPr>
                  </w:pPr>
                  <w:hyperlink r:id="rId12" w:history="1">
                    <w:r w:rsidR="00E1107A" w:rsidRPr="009B4D67">
                      <w:rPr>
                        <w:rStyle w:val="Hipervnculo"/>
                        <w:rFonts w:cstheme="minorHAnsi"/>
                        <w:sz w:val="24"/>
                        <w:szCs w:val="24"/>
                      </w:rPr>
                      <w:t>comunicación@coitim.es</w:t>
                    </w:r>
                  </w:hyperlink>
                  <w:r w:rsidR="00E1107A" w:rsidRPr="009B4D67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E1107A" w:rsidRPr="009B4D67" w:rsidRDefault="00E1107A" w:rsidP="00E1107A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9B4D67">
                    <w:rPr>
                      <w:rFonts w:cstheme="minorHAnsi"/>
                      <w:sz w:val="24"/>
                      <w:szCs w:val="24"/>
                    </w:rPr>
                    <w:t>91.448.41.10</w:t>
                  </w:r>
                </w:p>
                <w:p w:rsidR="00E1107A" w:rsidRPr="009B4D67" w:rsidRDefault="00E1107A" w:rsidP="00E1107A">
                  <w:pPr>
                    <w:spacing w:line="240" w:lineRule="auto"/>
                    <w:rPr>
                      <w:rFonts w:cstheme="minorHAnsi"/>
                      <w:sz w:val="24"/>
                      <w:szCs w:val="24"/>
                    </w:rPr>
                  </w:pPr>
                  <w:r w:rsidRPr="009B4D67">
                    <w:rPr>
                      <w:rFonts w:cstheme="minorHAnsi"/>
                      <w:sz w:val="24"/>
                      <w:szCs w:val="24"/>
                    </w:rPr>
                    <w:t>Jordán, 14, 28010 (Madrid)</w:t>
                  </w:r>
                </w:p>
              </w:txbxContent>
            </v:textbox>
          </v:shape>
        </w:pict>
      </w:r>
      <w:r w:rsidR="00E1107A" w:rsidRPr="009B4D67">
        <w:rPr>
          <w:rFonts w:eastAsia="Calibri" w:cstheme="minorHAnsi"/>
          <w:b/>
          <w:i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31750</wp:posOffset>
            </wp:positionV>
            <wp:extent cx="257175" cy="257175"/>
            <wp:effectExtent l="19050" t="0" r="9525" b="0"/>
            <wp:wrapNone/>
            <wp:docPr id="3" name="Imagen 6" descr="C:\Users\promocion2\Downloads\close-envelop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mocion2\Downloads\close-envelope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07A" w:rsidRPr="009B4D67">
        <w:rPr>
          <w:rFonts w:eastAsia="Calibri" w:cstheme="minorHAnsi"/>
          <w:b/>
          <w:i/>
          <w:iCs/>
          <w:sz w:val="24"/>
          <w:szCs w:val="24"/>
        </w:rPr>
        <w:t xml:space="preserve">           </w:t>
      </w:r>
    </w:p>
    <w:p w:rsidR="00E1107A" w:rsidRPr="009B4D67" w:rsidRDefault="00E1107A" w:rsidP="00E1107A">
      <w:pPr>
        <w:jc w:val="both"/>
        <w:rPr>
          <w:rFonts w:eastAsia="Calibri" w:cstheme="minorHAnsi"/>
          <w:b/>
          <w:i/>
          <w:iCs/>
          <w:sz w:val="24"/>
          <w:szCs w:val="24"/>
        </w:rPr>
      </w:pPr>
      <w:r w:rsidRPr="009B4D67">
        <w:rPr>
          <w:rFonts w:eastAsia="Calibri" w:cstheme="minorHAnsi"/>
          <w:b/>
          <w:i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87630</wp:posOffset>
            </wp:positionV>
            <wp:extent cx="209550" cy="209550"/>
            <wp:effectExtent l="19050" t="0" r="0" b="0"/>
            <wp:wrapNone/>
            <wp:docPr id="7" name="Imagen 5" descr="C:\Users\promocion2\Downloads\phone-rece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mocion2\Downloads\phone-receive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07A" w:rsidRPr="009B4D67" w:rsidRDefault="00E1107A" w:rsidP="00E1107A">
      <w:pPr>
        <w:jc w:val="both"/>
        <w:rPr>
          <w:rFonts w:eastAsia="Calibri" w:cstheme="minorHAnsi"/>
          <w:b/>
          <w:i/>
          <w:iCs/>
          <w:sz w:val="24"/>
          <w:szCs w:val="24"/>
        </w:rPr>
      </w:pPr>
      <w:r w:rsidRPr="009B4D67">
        <w:rPr>
          <w:rFonts w:eastAsia="Calibri" w:cstheme="minorHAnsi"/>
          <w:b/>
          <w:i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95250</wp:posOffset>
            </wp:positionV>
            <wp:extent cx="228600" cy="228600"/>
            <wp:effectExtent l="0" t="0" r="0" b="0"/>
            <wp:wrapNone/>
            <wp:docPr id="11" name="Imagen 4" descr="C:\Users\promocion2\Downloads\maps-and-fla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mocion2\Downloads\maps-and-flag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07A" w:rsidRPr="000C416E" w:rsidRDefault="00E1107A" w:rsidP="00E1107A">
      <w:pPr>
        <w:jc w:val="both"/>
        <w:rPr>
          <w:rFonts w:eastAsia="Calibri" w:cstheme="minorHAnsi"/>
          <w:iCs/>
          <w:sz w:val="24"/>
          <w:szCs w:val="24"/>
        </w:rPr>
      </w:pPr>
    </w:p>
    <w:p w:rsidR="00E1107A" w:rsidRDefault="00E1107A" w:rsidP="00E1107A">
      <w:pPr>
        <w:rPr>
          <w:rFonts w:ascii="Century Gothic" w:eastAsia="Times New Roman" w:hAnsi="Century Gothic" w:cs="Calibri"/>
          <w:b/>
          <w:color w:val="1F497D"/>
          <w:lang w:eastAsia="es-ES"/>
        </w:rPr>
      </w:pPr>
      <w:r w:rsidRPr="00AC2FBB">
        <w:rPr>
          <w:rFonts w:ascii="Century Gothic" w:eastAsia="Times New Roman" w:hAnsi="Century Gothic" w:cs="Calibri"/>
          <w:b/>
          <w:color w:val="1F497D"/>
          <w:lang w:eastAsia="es-ES"/>
        </w:rPr>
        <w:t>Síguenos en:</w:t>
      </w:r>
    </w:p>
    <w:p w:rsidR="00E1107A" w:rsidRDefault="00E1107A" w:rsidP="00E1107A">
      <w:pPr>
        <w:rPr>
          <w:rFonts w:ascii="Century Gothic" w:eastAsia="Times New Roman" w:hAnsi="Century Gothic" w:cs="Calibri"/>
          <w:b/>
          <w:color w:val="1F497D"/>
          <w:lang w:eastAsia="es-ES"/>
        </w:rPr>
      </w:pPr>
    </w:p>
    <w:p w:rsidR="00AA5F3E" w:rsidRPr="0040165E" w:rsidRDefault="00E1107A" w:rsidP="00E1107A">
      <w:pPr>
        <w:rPr>
          <w:rFonts w:cstheme="minorHAnsi"/>
          <w:sz w:val="24"/>
          <w:szCs w:val="24"/>
        </w:rPr>
      </w:pPr>
      <w:r w:rsidRPr="00E529D8">
        <w:rPr>
          <w:rFonts w:ascii="Century Gothic" w:hAnsi="Century Gothic"/>
          <w:noProof/>
          <w:lang w:eastAsia="es-ES"/>
        </w:rPr>
        <w:drawing>
          <wp:inline distT="0" distB="0" distL="0" distR="0">
            <wp:extent cx="450000" cy="450000"/>
            <wp:effectExtent l="19050" t="0" r="7200" b="0"/>
            <wp:docPr id="12" name="Imagen 2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</w:t>
      </w:r>
      <w:r w:rsidRPr="00E529D8">
        <w:rPr>
          <w:rFonts w:ascii="Century Gothic" w:hAnsi="Century Gothic"/>
          <w:noProof/>
          <w:lang w:eastAsia="es-ES"/>
        </w:rPr>
        <w:drawing>
          <wp:inline distT="0" distB="0" distL="0" distR="0">
            <wp:extent cx="448310" cy="448310"/>
            <wp:effectExtent l="19050" t="0" r="8890" b="0"/>
            <wp:docPr id="13" name="Imagen 2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copy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E529D8">
        <w:rPr>
          <w:rFonts w:ascii="Century Gothic" w:hAnsi="Century Gothic"/>
          <w:noProof/>
          <w:lang w:eastAsia="es-ES"/>
        </w:rPr>
        <w:drawing>
          <wp:inline distT="0" distB="0" distL="0" distR="0">
            <wp:extent cx="450000" cy="450000"/>
            <wp:effectExtent l="19050" t="0" r="7200" b="0"/>
            <wp:docPr id="14" name="Imagen 3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9D8">
        <w:rPr>
          <w:rFonts w:ascii="Century Gothic" w:hAnsi="Century Gothic"/>
          <w:noProof/>
          <w:lang w:eastAsia="es-ES"/>
        </w:rPr>
        <w:drawing>
          <wp:inline distT="0" distB="0" distL="0" distR="0">
            <wp:extent cx="450000" cy="450000"/>
            <wp:effectExtent l="19050" t="0" r="7200" b="0"/>
            <wp:docPr id="15" name="Imagen 22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02" w:rsidRPr="0040165E" w:rsidRDefault="00A56D29" w:rsidP="00C060B6">
      <w:pPr>
        <w:tabs>
          <w:tab w:val="left" w:pos="2652"/>
        </w:tabs>
        <w:rPr>
          <w:rFonts w:cstheme="minorHAnsi"/>
          <w:sz w:val="24"/>
          <w:szCs w:val="24"/>
        </w:rPr>
      </w:pPr>
      <w:r w:rsidRPr="0040165E">
        <w:rPr>
          <w:rFonts w:cstheme="minorHAnsi"/>
          <w:sz w:val="24"/>
          <w:szCs w:val="24"/>
        </w:rPr>
        <w:tab/>
      </w:r>
    </w:p>
    <w:sectPr w:rsidR="00220A02" w:rsidRPr="0040165E" w:rsidSect="009B4D67">
      <w:footerReference w:type="default" r:id="rId24"/>
      <w:headerReference w:type="first" r:id="rId25"/>
      <w:footerReference w:type="first" r:id="rId26"/>
      <w:pgSz w:w="11906" w:h="16838" w:code="9"/>
      <w:pgMar w:top="567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2B" w:rsidRDefault="00247C2B" w:rsidP="00403933">
      <w:pPr>
        <w:spacing w:after="0" w:line="240" w:lineRule="auto"/>
      </w:pPr>
      <w:r>
        <w:separator/>
      </w:r>
    </w:p>
  </w:endnote>
  <w:endnote w:type="continuationSeparator" w:id="0">
    <w:p w:rsidR="00247C2B" w:rsidRDefault="00247C2B" w:rsidP="0040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Trade Gothic LT St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e Gothic LT Std Cn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F5" w:rsidRDefault="00E148F5" w:rsidP="000A7F3A">
    <w:pPr>
      <w:pStyle w:val="Piedepgina"/>
      <w:pBdr>
        <w:top w:val="single" w:sz="4" w:space="4" w:color="004673"/>
      </w:pBdr>
      <w:spacing w:line="276" w:lineRule="auto"/>
    </w:pPr>
    <w:r w:rsidRPr="001B43F2">
      <w:rPr>
        <w:rFonts w:ascii="Trade Gothic LT Std Cn" w:hAnsi="Trade Gothic LT Std Cn" w:cs="Trade Gothic LT Std Cn"/>
        <w:color w:val="757679"/>
        <w:sz w:val="18"/>
        <w:szCs w:val="18"/>
      </w:rPr>
      <w:t>C/ Jordán, 14</w:t>
    </w:r>
    <w:r>
      <w:rPr>
        <w:rFonts w:ascii="Trade Gothic LT Std Cn" w:hAnsi="Trade Gothic LT Std Cn" w:cs="Trade Gothic LT Std Cn"/>
        <w:color w:val="757679"/>
        <w:sz w:val="18"/>
        <w:szCs w:val="18"/>
      </w:rPr>
      <w:t>.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 xml:space="preserve"> 28010 Madrid </w:t>
    </w:r>
    <w:r>
      <w:rPr>
        <w:rFonts w:ascii="Trade Gothic LT Std Cn" w:hAnsi="Trade Gothic LT Std Cn" w:cs="Trade Gothic LT Std Cn"/>
        <w:color w:val="757679"/>
        <w:sz w:val="18"/>
        <w:szCs w:val="18"/>
      </w:rPr>
      <w:t>–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 xml:space="preserve"> 91</w:t>
    </w:r>
    <w:r>
      <w:rPr>
        <w:rFonts w:ascii="Trade Gothic LT Std Cn" w:hAnsi="Trade Gothic LT Std Cn" w:cs="Trade Gothic LT Std Cn"/>
        <w:color w:val="757679"/>
        <w:sz w:val="18"/>
        <w:szCs w:val="18"/>
      </w:rPr>
      <w:t xml:space="preserve"> 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>448</w:t>
    </w:r>
    <w:r>
      <w:rPr>
        <w:rFonts w:ascii="Trade Gothic LT Std Cn" w:hAnsi="Trade Gothic LT Std Cn" w:cs="Trade Gothic LT Std Cn"/>
        <w:color w:val="757679"/>
        <w:sz w:val="18"/>
        <w:szCs w:val="18"/>
      </w:rPr>
      <w:t xml:space="preserve"> 24 0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>0</w:t>
    </w:r>
    <w:r>
      <w:ptab w:relativeTo="margin" w:alignment="center" w:leader="none"/>
    </w:r>
    <w:r>
      <w:ptab w:relativeTo="margin" w:alignment="right" w:leader="none"/>
    </w:r>
    <w:r>
      <w:rPr>
        <w:rFonts w:ascii="Trade Gothic LT Std Cn" w:hAnsi="Trade Gothic LT Std Cn" w:cs="Trade Gothic LT Std Cn"/>
        <w:b/>
        <w:bCs/>
        <w:color w:val="004672"/>
        <w:sz w:val="18"/>
        <w:szCs w:val="18"/>
      </w:rPr>
      <w:t xml:space="preserve">cogitim.es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F5" w:rsidRDefault="00E148F5" w:rsidP="00AA5F3E">
    <w:pPr>
      <w:pStyle w:val="Piedepgina"/>
      <w:pBdr>
        <w:top w:val="single" w:sz="4" w:space="4" w:color="004673"/>
      </w:pBdr>
      <w:spacing w:line="276" w:lineRule="auto"/>
    </w:pPr>
    <w:r w:rsidRPr="001B43F2">
      <w:rPr>
        <w:rFonts w:ascii="Trade Gothic LT Std Cn" w:hAnsi="Trade Gothic LT Std Cn" w:cs="Trade Gothic LT Std Cn"/>
        <w:color w:val="757679"/>
        <w:sz w:val="18"/>
        <w:szCs w:val="18"/>
      </w:rPr>
      <w:t>C/ Jordán, 14</w:t>
    </w:r>
    <w:r>
      <w:rPr>
        <w:rFonts w:ascii="Trade Gothic LT Std Cn" w:hAnsi="Trade Gothic LT Std Cn" w:cs="Trade Gothic LT Std Cn"/>
        <w:color w:val="757679"/>
        <w:sz w:val="18"/>
        <w:szCs w:val="18"/>
      </w:rPr>
      <w:t>.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 xml:space="preserve"> 28010 Madrid </w:t>
    </w:r>
    <w:r>
      <w:rPr>
        <w:rFonts w:ascii="Trade Gothic LT Std Cn" w:hAnsi="Trade Gothic LT Std Cn" w:cs="Trade Gothic LT Std Cn"/>
        <w:color w:val="757679"/>
        <w:sz w:val="18"/>
        <w:szCs w:val="18"/>
      </w:rPr>
      <w:t>–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 xml:space="preserve"> 91</w:t>
    </w:r>
    <w:r>
      <w:rPr>
        <w:rFonts w:ascii="Trade Gothic LT Std Cn" w:hAnsi="Trade Gothic LT Std Cn" w:cs="Trade Gothic LT Std Cn"/>
        <w:color w:val="757679"/>
        <w:sz w:val="18"/>
        <w:szCs w:val="18"/>
      </w:rPr>
      <w:t xml:space="preserve"> 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>448</w:t>
    </w:r>
    <w:r>
      <w:rPr>
        <w:rFonts w:ascii="Trade Gothic LT Std Cn" w:hAnsi="Trade Gothic LT Std Cn" w:cs="Trade Gothic LT Std Cn"/>
        <w:color w:val="757679"/>
        <w:sz w:val="18"/>
        <w:szCs w:val="18"/>
      </w:rPr>
      <w:t xml:space="preserve"> 24 0</w:t>
    </w:r>
    <w:r w:rsidRPr="001B43F2">
      <w:rPr>
        <w:rFonts w:ascii="Trade Gothic LT Std Cn" w:hAnsi="Trade Gothic LT Std Cn" w:cs="Trade Gothic LT Std Cn"/>
        <w:color w:val="757679"/>
        <w:sz w:val="18"/>
        <w:szCs w:val="18"/>
      </w:rPr>
      <w:t>0</w:t>
    </w:r>
    <w:r>
      <w:ptab w:relativeTo="margin" w:alignment="center" w:leader="none"/>
    </w:r>
    <w:r>
      <w:ptab w:relativeTo="margin" w:alignment="right" w:leader="none"/>
    </w:r>
    <w:r>
      <w:rPr>
        <w:rFonts w:ascii="Trade Gothic LT Std Cn" w:hAnsi="Trade Gothic LT Std Cn" w:cs="Trade Gothic LT Std Cn"/>
        <w:b/>
        <w:bCs/>
        <w:color w:val="004672"/>
        <w:sz w:val="18"/>
        <w:szCs w:val="18"/>
      </w:rPr>
      <w:t xml:space="preserve">cogitim.es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2B" w:rsidRDefault="00247C2B" w:rsidP="00403933">
      <w:pPr>
        <w:spacing w:after="0" w:line="240" w:lineRule="auto"/>
      </w:pPr>
      <w:r>
        <w:separator/>
      </w:r>
    </w:p>
  </w:footnote>
  <w:footnote w:type="continuationSeparator" w:id="0">
    <w:p w:rsidR="00247C2B" w:rsidRDefault="00247C2B" w:rsidP="0040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F5" w:rsidRDefault="00E148F5" w:rsidP="00F67E77">
    <w:pPr>
      <w:pStyle w:val="Encabezado"/>
      <w:tabs>
        <w:tab w:val="clear" w:pos="4252"/>
        <w:tab w:val="clear" w:pos="8504"/>
        <w:tab w:val="right" w:pos="10206"/>
      </w:tabs>
      <w:ind w:right="-568"/>
    </w:pPr>
    <w:r>
      <w:t xml:space="preserve">                                                                </w:t>
    </w:r>
    <w:r>
      <w:rPr>
        <w:rFonts w:ascii="Arial" w:hAnsi="Arial" w:cs="Arial"/>
        <w:b/>
        <w:noProof/>
        <w:lang w:eastAsia="es-ES"/>
      </w:rPr>
      <w:t xml:space="preserve">                  </w:t>
    </w:r>
  </w:p>
  <w:p w:rsidR="00E148F5" w:rsidRDefault="00A56D2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17780</wp:posOffset>
          </wp:positionV>
          <wp:extent cx="2823210" cy="922020"/>
          <wp:effectExtent l="1905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21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48F5" w:rsidRDefault="00E148F5">
    <w:pPr>
      <w:pStyle w:val="Encabezado"/>
    </w:pPr>
  </w:p>
  <w:p w:rsidR="00E148F5" w:rsidRDefault="00E148F5">
    <w:pPr>
      <w:pStyle w:val="Encabezado"/>
    </w:pPr>
  </w:p>
  <w:p w:rsidR="00E148F5" w:rsidRDefault="00E148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48"/>
    <w:multiLevelType w:val="multilevel"/>
    <w:tmpl w:val="B50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872A9"/>
    <w:multiLevelType w:val="hybridMultilevel"/>
    <w:tmpl w:val="AD948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959A1"/>
    <w:multiLevelType w:val="hybridMultilevel"/>
    <w:tmpl w:val="0296909C"/>
    <w:lvl w:ilvl="0" w:tplc="EA820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03933"/>
    <w:rsid w:val="00020891"/>
    <w:rsid w:val="00043244"/>
    <w:rsid w:val="00047BEE"/>
    <w:rsid w:val="0007003D"/>
    <w:rsid w:val="00075529"/>
    <w:rsid w:val="000A3B1F"/>
    <w:rsid w:val="000A7F3A"/>
    <w:rsid w:val="000B0CA5"/>
    <w:rsid w:val="000C04A1"/>
    <w:rsid w:val="000C3C22"/>
    <w:rsid w:val="000C416E"/>
    <w:rsid w:val="000D414D"/>
    <w:rsid w:val="000E5654"/>
    <w:rsid w:val="000F2012"/>
    <w:rsid w:val="000F5C8B"/>
    <w:rsid w:val="000F7585"/>
    <w:rsid w:val="0011197E"/>
    <w:rsid w:val="00114BAA"/>
    <w:rsid w:val="001465A7"/>
    <w:rsid w:val="00176345"/>
    <w:rsid w:val="00190CA5"/>
    <w:rsid w:val="00195E7B"/>
    <w:rsid w:val="00196EF8"/>
    <w:rsid w:val="001A5AE5"/>
    <w:rsid w:val="001B43F2"/>
    <w:rsid w:val="001C2E48"/>
    <w:rsid w:val="001D2621"/>
    <w:rsid w:val="001E777F"/>
    <w:rsid w:val="001F6484"/>
    <w:rsid w:val="00206F44"/>
    <w:rsid w:val="00220A02"/>
    <w:rsid w:val="002400CF"/>
    <w:rsid w:val="00247C2B"/>
    <w:rsid w:val="00263765"/>
    <w:rsid w:val="00271F1C"/>
    <w:rsid w:val="00275A90"/>
    <w:rsid w:val="00292A81"/>
    <w:rsid w:val="002E59C8"/>
    <w:rsid w:val="002F002E"/>
    <w:rsid w:val="002F6807"/>
    <w:rsid w:val="0030531B"/>
    <w:rsid w:val="00337C26"/>
    <w:rsid w:val="00382652"/>
    <w:rsid w:val="003969AE"/>
    <w:rsid w:val="003C0C16"/>
    <w:rsid w:val="003C15D7"/>
    <w:rsid w:val="003D652E"/>
    <w:rsid w:val="003E1666"/>
    <w:rsid w:val="0040165E"/>
    <w:rsid w:val="00403933"/>
    <w:rsid w:val="0040671A"/>
    <w:rsid w:val="004077BF"/>
    <w:rsid w:val="00442D8B"/>
    <w:rsid w:val="00452FAD"/>
    <w:rsid w:val="0045731D"/>
    <w:rsid w:val="00466E0C"/>
    <w:rsid w:val="00485431"/>
    <w:rsid w:val="004A381D"/>
    <w:rsid w:val="004C0510"/>
    <w:rsid w:val="004E25D3"/>
    <w:rsid w:val="004E73AD"/>
    <w:rsid w:val="00506B59"/>
    <w:rsid w:val="00510481"/>
    <w:rsid w:val="00525388"/>
    <w:rsid w:val="005279DF"/>
    <w:rsid w:val="00556023"/>
    <w:rsid w:val="005650DD"/>
    <w:rsid w:val="005802CB"/>
    <w:rsid w:val="0058783C"/>
    <w:rsid w:val="005B611A"/>
    <w:rsid w:val="005C40B2"/>
    <w:rsid w:val="005D5928"/>
    <w:rsid w:val="005D7D43"/>
    <w:rsid w:val="005F1D7F"/>
    <w:rsid w:val="006159B4"/>
    <w:rsid w:val="00626A58"/>
    <w:rsid w:val="00631BE9"/>
    <w:rsid w:val="00637B68"/>
    <w:rsid w:val="00662F02"/>
    <w:rsid w:val="00691931"/>
    <w:rsid w:val="006B3B92"/>
    <w:rsid w:val="006C4837"/>
    <w:rsid w:val="006F21CB"/>
    <w:rsid w:val="007074A8"/>
    <w:rsid w:val="0071524D"/>
    <w:rsid w:val="00717BAC"/>
    <w:rsid w:val="0072634F"/>
    <w:rsid w:val="00737714"/>
    <w:rsid w:val="00746407"/>
    <w:rsid w:val="007911B9"/>
    <w:rsid w:val="007B334D"/>
    <w:rsid w:val="00807B89"/>
    <w:rsid w:val="008569B2"/>
    <w:rsid w:val="00876122"/>
    <w:rsid w:val="00890D53"/>
    <w:rsid w:val="008D365C"/>
    <w:rsid w:val="008E2018"/>
    <w:rsid w:val="008E73EF"/>
    <w:rsid w:val="008F177A"/>
    <w:rsid w:val="008F6638"/>
    <w:rsid w:val="00906112"/>
    <w:rsid w:val="00920060"/>
    <w:rsid w:val="00960974"/>
    <w:rsid w:val="00963DD3"/>
    <w:rsid w:val="009A12B6"/>
    <w:rsid w:val="009B4D67"/>
    <w:rsid w:val="009C7C3A"/>
    <w:rsid w:val="009D482F"/>
    <w:rsid w:val="009E37FC"/>
    <w:rsid w:val="00A01DB1"/>
    <w:rsid w:val="00A10B0F"/>
    <w:rsid w:val="00A56D29"/>
    <w:rsid w:val="00A70B1F"/>
    <w:rsid w:val="00A927BD"/>
    <w:rsid w:val="00A92B2A"/>
    <w:rsid w:val="00A972FA"/>
    <w:rsid w:val="00AA4FB5"/>
    <w:rsid w:val="00AA5F3E"/>
    <w:rsid w:val="00AB253D"/>
    <w:rsid w:val="00AE691E"/>
    <w:rsid w:val="00B41F7B"/>
    <w:rsid w:val="00B50CE9"/>
    <w:rsid w:val="00B5561D"/>
    <w:rsid w:val="00B56B92"/>
    <w:rsid w:val="00B64107"/>
    <w:rsid w:val="00B96510"/>
    <w:rsid w:val="00BA1CDF"/>
    <w:rsid w:val="00BA61F2"/>
    <w:rsid w:val="00BB34F8"/>
    <w:rsid w:val="00BB73DC"/>
    <w:rsid w:val="00BD055C"/>
    <w:rsid w:val="00BE1AC0"/>
    <w:rsid w:val="00BF43CB"/>
    <w:rsid w:val="00C060B6"/>
    <w:rsid w:val="00C145A3"/>
    <w:rsid w:val="00C300FB"/>
    <w:rsid w:val="00C3207E"/>
    <w:rsid w:val="00C534BF"/>
    <w:rsid w:val="00C55DCF"/>
    <w:rsid w:val="00C64986"/>
    <w:rsid w:val="00C766DC"/>
    <w:rsid w:val="00C83A0C"/>
    <w:rsid w:val="00CC0431"/>
    <w:rsid w:val="00CD502F"/>
    <w:rsid w:val="00CF7D06"/>
    <w:rsid w:val="00D13AEE"/>
    <w:rsid w:val="00D14438"/>
    <w:rsid w:val="00D23345"/>
    <w:rsid w:val="00D3541A"/>
    <w:rsid w:val="00D36CE5"/>
    <w:rsid w:val="00D52B42"/>
    <w:rsid w:val="00D57BD3"/>
    <w:rsid w:val="00DD2774"/>
    <w:rsid w:val="00DE04C3"/>
    <w:rsid w:val="00E1107A"/>
    <w:rsid w:val="00E148F5"/>
    <w:rsid w:val="00E27239"/>
    <w:rsid w:val="00E374F8"/>
    <w:rsid w:val="00E41F38"/>
    <w:rsid w:val="00E43A7F"/>
    <w:rsid w:val="00E44C3E"/>
    <w:rsid w:val="00E47BB3"/>
    <w:rsid w:val="00E57029"/>
    <w:rsid w:val="00E63DA2"/>
    <w:rsid w:val="00E65376"/>
    <w:rsid w:val="00E9478E"/>
    <w:rsid w:val="00EB1053"/>
    <w:rsid w:val="00EC7570"/>
    <w:rsid w:val="00ED7068"/>
    <w:rsid w:val="00F134C4"/>
    <w:rsid w:val="00F17E3F"/>
    <w:rsid w:val="00F223B8"/>
    <w:rsid w:val="00F3604A"/>
    <w:rsid w:val="00F46801"/>
    <w:rsid w:val="00F67E77"/>
    <w:rsid w:val="00F9504C"/>
    <w:rsid w:val="00FA4457"/>
    <w:rsid w:val="00FB5C92"/>
    <w:rsid w:val="00FB6D3A"/>
    <w:rsid w:val="00FD0B16"/>
    <w:rsid w:val="00FE2ADB"/>
    <w:rsid w:val="00FE3311"/>
    <w:rsid w:val="00FE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B2A"/>
  </w:style>
  <w:style w:type="paragraph" w:styleId="Ttulo1">
    <w:name w:val="heading 1"/>
    <w:basedOn w:val="Normal"/>
    <w:next w:val="Normal"/>
    <w:link w:val="Ttulo1Car"/>
    <w:uiPriority w:val="9"/>
    <w:qFormat/>
    <w:rsid w:val="000C04A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E2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933"/>
  </w:style>
  <w:style w:type="paragraph" w:styleId="Piedepgina">
    <w:name w:val="footer"/>
    <w:basedOn w:val="Normal"/>
    <w:link w:val="PiedepginaCar"/>
    <w:uiPriority w:val="99"/>
    <w:unhideWhenUsed/>
    <w:rsid w:val="0040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933"/>
  </w:style>
  <w:style w:type="paragraph" w:customStyle="1" w:styleId="Prrafobsico">
    <w:name w:val="[Párrafo básico]"/>
    <w:basedOn w:val="Normal"/>
    <w:uiPriority w:val="99"/>
    <w:rsid w:val="0040393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paragraph" w:customStyle="1" w:styleId="Textocarta">
    <w:name w:val="Texto carta"/>
    <w:basedOn w:val="Normal"/>
    <w:link w:val="TextocartaCar"/>
    <w:qFormat/>
    <w:rsid w:val="00220A02"/>
    <w:pPr>
      <w:spacing w:line="276" w:lineRule="auto"/>
    </w:pPr>
    <w:rPr>
      <w:rFonts w:ascii="Trade Gothic LT Std Light" w:hAnsi="Trade Gothic LT Std Light"/>
      <w:color w:val="666666"/>
      <w:sz w:val="21"/>
      <w:szCs w:val="21"/>
      <w:shd w:val="clear" w:color="auto" w:fill="FFFFFF"/>
    </w:rPr>
  </w:style>
  <w:style w:type="character" w:customStyle="1" w:styleId="TextocartaCar">
    <w:name w:val="Texto carta Car"/>
    <w:basedOn w:val="Fuentedeprrafopredeter"/>
    <w:link w:val="Textocarta"/>
    <w:rsid w:val="00220A02"/>
    <w:rPr>
      <w:rFonts w:ascii="Trade Gothic LT Std Light" w:hAnsi="Trade Gothic LT Std Light"/>
      <w:color w:val="666666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0DD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E41F3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E3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A10B0F"/>
    <w:pPr>
      <w:spacing w:after="200" w:line="276" w:lineRule="auto"/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25D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A927BD"/>
    <w:rPr>
      <w:b/>
      <w:bCs/>
    </w:rPr>
  </w:style>
  <w:style w:type="paragraph" w:styleId="NormalWeb">
    <w:name w:val="Normal (Web)"/>
    <w:basedOn w:val="Normal"/>
    <w:uiPriority w:val="99"/>
    <w:unhideWhenUsed/>
    <w:rsid w:val="00A9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4A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0C04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gitim.e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facebook.com/cogitimadrid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mailto:comunicaci&#243;n@coitim.es" TargetMode="External"/><Relationship Id="rId17" Type="http://schemas.openxmlformats.org/officeDocument/2006/relationships/image" Target="media/image4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twitter.com/OFICIALCOITIMAD" TargetMode="External"/><Relationship Id="rId20" Type="http://schemas.openxmlformats.org/officeDocument/2006/relationships/hyperlink" Target="https://www.youtube.com/channel/UC2Oom5oO50_QwcBflgJrHTA/playlis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nercom.com/actuacion/programas-de-ayudas-para-energias-renovables-en-autoconsumo-almacenamiento-y-sistemas-termico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www.fmmadrid.org/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comunidad.madrid/transparencia/unidad-organizativa-responsable/d-g-descarbonizacion-y-transicion-energetica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linkedin.com/in/coiti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exto corrido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38E68-EFD8-498D-ACE2-B1F5E828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1198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Perez</dc:creator>
  <cp:lastModifiedBy>margarita</cp:lastModifiedBy>
  <cp:revision>23</cp:revision>
  <cp:lastPrinted>2021-10-29T10:09:00Z</cp:lastPrinted>
  <dcterms:created xsi:type="dcterms:W3CDTF">2021-11-12T08:14:00Z</dcterms:created>
  <dcterms:modified xsi:type="dcterms:W3CDTF">2021-11-12T10:17:00Z</dcterms:modified>
</cp:coreProperties>
</file>